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57638A" w:rsidRDefault="00BB01EF" w:rsidP="000D4F83">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48AD81F-E17E-4F18-9323-BDEF774473A8" style="width:450pt;height:396pt">
            <v:imagedata r:id="rId7" o:title=""/>
          </v:shape>
        </w:pict>
      </w:r>
    </w:p>
    <w:p w:rsidR="002402D9" w:rsidRPr="0057638A" w:rsidRDefault="002402D9">
      <w:pPr>
        <w:sectPr w:rsidR="002402D9" w:rsidRPr="0057638A" w:rsidSect="000D4F83">
          <w:footerReference w:type="default" r:id="rId8"/>
          <w:pgSz w:w="11907" w:h="16839"/>
          <w:pgMar w:top="1134" w:right="1417" w:bottom="1134" w:left="1417" w:header="709" w:footer="709" w:gutter="0"/>
          <w:pgNumType w:start="0"/>
          <w:cols w:space="720"/>
          <w:docGrid w:linePitch="360"/>
        </w:sectPr>
      </w:pPr>
    </w:p>
    <w:p w:rsidR="002402D9" w:rsidRPr="0057638A" w:rsidRDefault="000D4F83" w:rsidP="000D4F83">
      <w:pPr>
        <w:pStyle w:val="Typedudocument"/>
      </w:pPr>
      <w:r w:rsidRPr="000D4F83">
        <w:lastRenderedPageBreak/>
        <w:t>A BIZOTTSÁG (EU) .../... VÉGREHAJTÁSI HATÁROZATA</w:t>
      </w:r>
    </w:p>
    <w:p w:rsidR="002402D9" w:rsidRPr="0057638A" w:rsidRDefault="000D4F83" w:rsidP="000D4F83">
      <w:pPr>
        <w:pStyle w:val="Datedadoption"/>
      </w:pPr>
      <w:r w:rsidRPr="000D4F83">
        <w:t>(</w:t>
      </w:r>
      <w:r w:rsidRPr="000D4F83">
        <w:rPr>
          <w:rStyle w:val="Marker2"/>
        </w:rPr>
        <w:t>XXX</w:t>
      </w:r>
      <w:r w:rsidRPr="000D4F83">
        <w:t>)</w:t>
      </w:r>
    </w:p>
    <w:p w:rsidR="002402D9" w:rsidRPr="0057638A" w:rsidRDefault="000D4F83" w:rsidP="000D4F83">
      <w:pPr>
        <w:pStyle w:val="Titreobjet"/>
      </w:pPr>
      <w:r w:rsidRPr="000D4F83">
        <w:t>az adatkezelők és az adatfeldolgozók közötti, az (EU) 2016/679 európai parlamenti és tanácsi rendelet 28. cikkének (7) bekezdése és az (EU) 2018/1725 európai parlamenti és tanácsi rendelet 29. cikkének (7) bekezdése szerinti általános szerződési feltételekről</w:t>
      </w:r>
    </w:p>
    <w:p w:rsidR="002402D9" w:rsidRPr="0057638A" w:rsidRDefault="000D4F83" w:rsidP="000D4F83">
      <w:pPr>
        <w:pStyle w:val="IntrtEEE"/>
      </w:pPr>
      <w:r w:rsidRPr="000D4F83">
        <w:t>(EGT-vonatkozású szöveg)</w:t>
      </w:r>
    </w:p>
    <w:p w:rsidR="002402D9" w:rsidRPr="0057638A" w:rsidRDefault="002402D9" w:rsidP="002402D9">
      <w:pPr>
        <w:pStyle w:val="Institutionquiagit"/>
      </w:pPr>
      <w:r w:rsidRPr="0057638A">
        <w:t>AZ EURÓPAI BIZOTTSÁG,</w:t>
      </w:r>
    </w:p>
    <w:p w:rsidR="002402D9" w:rsidRPr="0057638A" w:rsidRDefault="002402D9" w:rsidP="002402D9">
      <w:r w:rsidRPr="0057638A">
        <w:rPr>
          <w:color w:val="000000"/>
        </w:rPr>
        <w:t>tekintettel az Európai Unió működéséről szóló szerződésre</w:t>
      </w:r>
      <w:r w:rsidRPr="0057638A">
        <w:t>,</w:t>
      </w:r>
    </w:p>
    <w:p w:rsidR="002402D9" w:rsidRPr="0057638A" w:rsidRDefault="002402D9" w:rsidP="002402D9">
      <w:r w:rsidRPr="0057638A">
        <w:t>tekintettel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rendeletre</w:t>
      </w:r>
      <w:r w:rsidRPr="0057638A">
        <w:rPr>
          <w:rStyle w:val="FootnoteReference"/>
        </w:rPr>
        <w:footnoteReference w:id="1"/>
      </w:r>
      <w:r w:rsidRPr="0057638A">
        <w:t xml:space="preserve"> és különösen annak 28. cikke (7) bekezdésére, </w:t>
      </w:r>
    </w:p>
    <w:p w:rsidR="002402D9" w:rsidRPr="0057638A" w:rsidRDefault="002402D9" w:rsidP="002402D9">
      <w:r w:rsidRPr="0057638A">
        <w:t>tekintettel a természetes személyeknek a személyes adatok uniós intézmények, szervek, hivatalok és ügynökségek általi kezelése tekintetében való védelméről és az ilyen adatok szabad áramlásáról, valamint a 45/2001/EK rendelet és az 1247/2002/EK határozat hatályon kívül helyezéséről szóló, 2018. október 23-i (EU) 2018/1725 európai parlamenti és tanácsi rendeletre (EUDPR)</w:t>
      </w:r>
      <w:r w:rsidRPr="0057638A">
        <w:rPr>
          <w:rStyle w:val="FootnoteReference"/>
        </w:rPr>
        <w:footnoteReference w:id="2"/>
      </w:r>
      <w:r w:rsidRPr="0057638A">
        <w:t xml:space="preserve"> és különösen annak 29. cikke (7) bekezdésére,</w:t>
      </w:r>
    </w:p>
    <w:p w:rsidR="002402D9" w:rsidRPr="0057638A" w:rsidRDefault="002402D9" w:rsidP="002402D9">
      <w:r w:rsidRPr="0057638A">
        <w:t>mivel:</w:t>
      </w:r>
    </w:p>
    <w:p w:rsidR="002402D9" w:rsidRPr="0057638A" w:rsidRDefault="002402D9" w:rsidP="00364079">
      <w:pPr>
        <w:pStyle w:val="Considrant"/>
        <w:numPr>
          <w:ilvl w:val="0"/>
          <w:numId w:val="1"/>
        </w:numPr>
      </w:pPr>
      <w:r w:rsidRPr="0057638A">
        <w:t>Az adatkezelő és az adatfeldolgozó fogalma döntő szerepet játszik az (EU) 2016/679 rendelet és az (EU) 2018/1725 rendelet alkalmazásában. Az adatkezelő az a természetes vagy jogi személy, közhatalmi szerv, ügynökség vagy bármely egyéb szerv, amely a személyes adatok kezelésének céljait és eszközeit önállóan vagy másokkal együtt meghatározza. Az (EU) 2018/1725 rendelet alkalmazásában adatkezelő az az uniós intézmény vagy szerv, főigazgatóság vagy bármely más szervezeti egység, amely önállóan vagy másokkal együtt meghatározza a személyes adatok kezelésének céljait és módját. Ha az adatkezelés céljait és eszközeit konkrét uniós jogszabály határozza meg, az adatkezelőt vagy az adatkezelő kijelölésére vonatkozó különös szempontokat az uniós jog határozhatja meg. Adatfeldolgozó az a természetes vagy jogi személy, hatóság, ügynökség vagy egyéb szerv, amely az adatkezelő nevében személyes adatokat kezel.</w:t>
      </w:r>
    </w:p>
    <w:p w:rsidR="002402D9" w:rsidRPr="0057638A" w:rsidRDefault="002402D9" w:rsidP="009237D1">
      <w:pPr>
        <w:pStyle w:val="Considrant"/>
      </w:pPr>
      <w:r w:rsidRPr="0057638A">
        <w:t xml:space="preserve">Ugyanazon általános szerződési feltételeknek kell vonatkozniuk az adatkezelők és az (EU) 2016/679 rendelet hatálya alá tartozó adatfeldolgozók közötti kapcsolatra, mint azokra az esetekre, amikor az (EU) 2018/1725 rendelet hatálya alá tartoznak. Ennek az az oka, hogy a személyes adatok Unión belüli védelmére és a személyes adatok Unión belüli szabad áramlására vonatkozó koherens megközelítés érdekében az (EU) 2016/679 rendeletnek a tagállamok közszektorára alkalmazandó adatvédelmi szabályait, valamint az (EU) 2018/1725 rendeletben foglalt, az uniós intézményekre, </w:t>
      </w:r>
      <w:r w:rsidRPr="0057638A">
        <w:lastRenderedPageBreak/>
        <w:t xml:space="preserve">szervekre, hivatalokra és ügynökségekre alkalmazandó adatvédelmi szabályokat a lehetőségekhez mérten összehangolták egymással. </w:t>
      </w:r>
    </w:p>
    <w:p w:rsidR="002402D9" w:rsidRPr="0057638A" w:rsidRDefault="002402D9" w:rsidP="002402D9">
      <w:pPr>
        <w:pStyle w:val="Considrant"/>
      </w:pPr>
      <w:r w:rsidRPr="0057638A">
        <w:t>Az (EU) 2016/679 és az (EU) 2018/1725 rendelet követelményeinek való megfelelés biztosítása érdekében az adatkezelő csak olyan adatfeldolgozókat vehet igénybe, amelyek – különösen a szakértelem, a megbízhatóság és az erőforrások tekintetében – megfelelő garanciákat nyújtanak az (EU) 2016/679 rendelet és az (EU) 2018/1725 rendelet követelményeinek megfelelő technikai és szervezési intézkedések végrehajtásához, beleértve az adatkezelés biztonságát</w:t>
      </w:r>
      <w:r w:rsidRPr="0057638A">
        <w:rPr>
          <w:i/>
        </w:rPr>
        <w:t>.</w:t>
      </w:r>
    </w:p>
    <w:p w:rsidR="002402D9" w:rsidRPr="0057638A" w:rsidRDefault="002402D9" w:rsidP="002402D9">
      <w:pPr>
        <w:pStyle w:val="Considrant"/>
      </w:pPr>
      <w:r w:rsidRPr="0057638A">
        <w:t>Az adatfeldolgozó általi adatkezelést olyan, uniós vagy tagállami jog szerinti szerződésnek vagy más jogi aktusnak kell szabályoznia, amely az adatkezelő tekintetében kötelező az adatfeldolgozóra nézve, és amely meghatározza az (EU) 2016/679 rendelet 28. cikkének (3) és (4) bekezdésében vagy az (EU) 2018/1725 rendelet 29. cikkének (3) és (4) bekezdésében felsorolt elemeket. A szerződésnek vagy aktusnak írásban kell megtörténnie, beleértve az elektronikus formát is.</w:t>
      </w:r>
    </w:p>
    <w:p w:rsidR="002402D9" w:rsidRPr="0057638A" w:rsidRDefault="002402D9" w:rsidP="002402D9">
      <w:pPr>
        <w:pStyle w:val="Considrant"/>
      </w:pPr>
      <w:r w:rsidRPr="0057638A">
        <w:t>Az (EU) 2016/679 rendelet 28. cikkének (6) bekezdésével és az (EU) 2018/1725 rendelet 29. cikkének (6) bekezdésével összhangban az adatkezelő és az adatfeldolgozó dönthet úgy, hogy tárgyalásokat folytat az (EU) 2016/679 rendelet 28. cikkének (3) és (4) bekezdésében, illetve az (EU) 2018/1725 rendelet 29. cikkének (3) és (4) bekezdésében meghatározott kötelező elemeket tartalmazó egyedi szerződésről, vagy részben vagy teljes mértékben alkalmazza a Bizottság által az (EU) 2016/679 rendelet 28. cikkének (7) bekezdése és az (EU) 2018/1725 rendelet 29. cikkének (7) bekezdése alapján elfogadott ált</w:t>
      </w:r>
      <w:r w:rsidR="00732ED9">
        <w:t>alános szerződési feltételeket.</w:t>
      </w:r>
    </w:p>
    <w:p w:rsidR="002402D9" w:rsidRPr="0057638A" w:rsidRDefault="002402D9" w:rsidP="002402D9">
      <w:pPr>
        <w:pStyle w:val="Considrant"/>
      </w:pPr>
      <w:r w:rsidRPr="0057638A">
        <w:t>Az adatkezelő és az adatfeldolgozó szabadon beépítheti az e határozatban szereplő általános szerződési feltételeket egy szélesebb körű szerződésbe, és más feltételekkel vagy további garanciákkal egészítheti ki azt, feltéve, hogy azok közvetve vagy közvetlenül nem mondanak ellen az általános szerződési feltételeknek, vagy nem sértik az érintettek alapvető jogait és szabadságait. Az általános szerződési feltételekre való hivatkozás nem érinti az adatkezelőnek és/vagy az adatfeldolgozónak az alkalmazandó kiváltságok és mentességek tiszteletben tartásának biztosítására vonatkozó szerződéses kötelezettségeit.</w:t>
      </w:r>
    </w:p>
    <w:p w:rsidR="002402D9" w:rsidRPr="0057638A" w:rsidRDefault="002402D9" w:rsidP="002402D9">
      <w:pPr>
        <w:pStyle w:val="Considrant"/>
      </w:pPr>
      <w:r w:rsidRPr="0057638A">
        <w:t>Az általános szerződési feltételeknek anyagi jogi és eljárási szabályokat egyaránt magukban kell foglalniuk. Az (EU) 2016/679 rendelet 28. cikkének (3) bekezdésével és az (EU) 2018/1725 rendelet 29. cikkének (3) bekezdésével összhangban az általános szerződési feltételekben elő kell írni az adatkezelő és adatfeldolgozó számára, hogy határozza meg az adatkezelés tárgyát és időtartamát, jellegét és célját, az érintett személyes adatok típusát, az érintettek kategóriáit, valamint az adatkez</w:t>
      </w:r>
      <w:r w:rsidR="00732ED9">
        <w:t>elő kötelezettségeit és jogait.</w:t>
      </w:r>
    </w:p>
    <w:p w:rsidR="002402D9" w:rsidRPr="0057638A" w:rsidRDefault="002402D9" w:rsidP="002402D9">
      <w:pPr>
        <w:pStyle w:val="Considrant"/>
      </w:pPr>
      <w:r w:rsidRPr="0057638A">
        <w:t>Az (EU) 2016/679 rendelet 28. cikkének (3) bekezdése és az (EU) 2018/1725 rendelet 29. cikkének (3) bekezdése értelmében az adatfeldolgozónak haladéktalanul tájékoztatnia kell az adatkezelőt, ha véleménye szerint az adatkezelő utasításai megsértik az (EU) 2016/679 rendeletet vagy az (EU) 2018/1725 rendeletet, vagy más uniós vagy tagállami adatvédelmi rendelkezéseket.</w:t>
      </w:r>
    </w:p>
    <w:p w:rsidR="002402D9" w:rsidRPr="0057638A" w:rsidRDefault="005D6D0A" w:rsidP="002402D9">
      <w:pPr>
        <w:pStyle w:val="Considrant"/>
      </w:pPr>
      <w:r w:rsidRPr="0057638A">
        <w:t>Ha egy adatfeldolgozó meghatározott tevékenységek végzése céljából további adatfeldolgozót vesz igénybe, az (EU) 2016/679 rendelet 28. cikkének (2) és (4) bekezdésében vagy az (EU) 2018/1725 rendelet 29. cikkének (2) és (4) bekezdésében említett egyedi követelményeket kell alkalmazni. Különösen előzetes kifejezett vagy általános írásbeli engedélyre van szükség. Függetlenül attól, hogy ez az előzetes engedély egyedi vagy általános jellegű-e, az elsődleges adatfeldolgozónak naprakész jegyzéket kell veze</w:t>
      </w:r>
      <w:r w:rsidR="00732ED9">
        <w:t>tnie a többi adatfeldolgozóról.</w:t>
      </w:r>
    </w:p>
    <w:p w:rsidR="002402D9" w:rsidRPr="0057638A" w:rsidRDefault="002402D9" w:rsidP="002402D9">
      <w:pPr>
        <w:pStyle w:val="Considrant"/>
      </w:pPr>
      <w:r w:rsidRPr="0057638A">
        <w:t>Az (EU) 2016/679 rendelet 46. cikkének (1) bekezdésében foglalt követelmények teljesítése érdekében a Bizottság általános szerződési feltételeket fogadott el az (EU) 2016/679 rendelet 46. cikke (2) bekezdésének c) pontja alapján. Az említett feltételek teljesítik továbbá az (EU) 2016/679 rendelet 28. cikkének (3) és (4) bekezdésében foglalt követelményeket, amelyek az (EU) 2016/679 rendelet hatálya alá tartozó adatkezelők részéről a rendelet területi hatályán kívül eső adatfeldolgozók részére történő adattovábbításokra vagy az (EU) 2016/679 rendelet hatálya alá tartozó adatfeldolgozók részéről a rendelet területi hatályán kívül eső további adatfeldolgozók részére történő adattovábbításokra vonatkoznak. Ezek az általános szerződési feltételek nem használhatók általános szerződési feltételként az (EU) 2016/679 rendelet</w:t>
      </w:r>
      <w:r w:rsidR="00732ED9">
        <w:t xml:space="preserve"> V. fejezetének alkalmazásában.</w:t>
      </w:r>
    </w:p>
    <w:p w:rsidR="002402D9" w:rsidRPr="0057638A" w:rsidRDefault="002402D9" w:rsidP="002402D9">
      <w:pPr>
        <w:pStyle w:val="Considrant"/>
      </w:pPr>
      <w:r w:rsidRPr="0057638A">
        <w:t>Lehetővé kell tenni, hogy harmadik felek a szerződés teljes életciklusa alatt az általános szerződési feltételek szerződő felévé váljanak.</w:t>
      </w:r>
    </w:p>
    <w:p w:rsidR="002402D9" w:rsidRPr="0057638A" w:rsidRDefault="002402D9" w:rsidP="002402D9">
      <w:pPr>
        <w:pStyle w:val="Considrant"/>
      </w:pPr>
      <w:r w:rsidRPr="0057638A">
        <w:t>Az általános szerződési feltételek működését az (EU) 2016/679 rendelet 97. cikkében említett időszakos értéke</w:t>
      </w:r>
      <w:r w:rsidR="00732ED9">
        <w:t>lés alrészeként kell értékelni.</w:t>
      </w:r>
    </w:p>
    <w:p w:rsidR="002402D9" w:rsidRPr="0057638A" w:rsidRDefault="00EA7EE3" w:rsidP="00EA7EE3">
      <w:pPr>
        <w:pStyle w:val="Considrant"/>
      </w:pPr>
      <w:r w:rsidRPr="0057638A">
        <w:t>Az (EU) 2018/1725 rendelet 42. cikkének (1) és (2) bekezdésével összhangban konzultációra került sor az európai adatvédelmi biztossal és az Európai Adatvédelmi Testülettel, és a biztos és a testület 2021. január 14-én közös véleményt adott ki</w:t>
      </w:r>
      <w:r w:rsidRPr="0057638A">
        <w:rPr>
          <w:rStyle w:val="FootnoteReference"/>
        </w:rPr>
        <w:footnoteReference w:id="3"/>
      </w:r>
      <w:r w:rsidRPr="0057638A">
        <w:t>, amelynek figyelembevételére sor került e határozat előkészítése során.</w:t>
      </w:r>
    </w:p>
    <w:p w:rsidR="002402D9" w:rsidRPr="0057638A" w:rsidRDefault="002402D9" w:rsidP="002402D9">
      <w:pPr>
        <w:pStyle w:val="Considrant"/>
      </w:pPr>
      <w:r w:rsidRPr="0057638A">
        <w:t>Az e határozatban előírt intézkedések összhangban vannak az (EU) 2016/679 rendelet 93. cikke és az (EU) 2018/1725 rendelet 96. cikkének (2) bekezdése alapján létrehozott bizottság véleményével,]</w:t>
      </w:r>
    </w:p>
    <w:p w:rsidR="002402D9" w:rsidRPr="0057638A" w:rsidRDefault="00732ED9" w:rsidP="002402D9">
      <w:pPr>
        <w:pStyle w:val="Formuledadoption"/>
      </w:pPr>
      <w:r>
        <w:t>ELFOGADTA EZT A HATÁROZATOT:</w:t>
      </w:r>
    </w:p>
    <w:p w:rsidR="002402D9" w:rsidRPr="0057638A" w:rsidRDefault="002402D9" w:rsidP="002402D9">
      <w:pPr>
        <w:pStyle w:val="Titrearticle"/>
      </w:pPr>
      <w:r w:rsidRPr="0057638A">
        <w:t>1. cikk</w:t>
      </w:r>
    </w:p>
    <w:p w:rsidR="002402D9" w:rsidRPr="0057638A" w:rsidRDefault="002402D9" w:rsidP="002402D9">
      <w:r w:rsidRPr="0057638A">
        <w:t>A mellékletben meghatározott általános szerződési feltételek teljesítik az adatkezelők és adatfeldolgozók közötti szerződésekre vonatkozóan az (EU) 2016/679 rendelet 28. cikkének (3) és (4) bekezdésében, valamint az (EU) 2018/1725 rendelet 29. cikkének (3) és (4) bekezdésében foglalt követelményeket.</w:t>
      </w:r>
    </w:p>
    <w:p w:rsidR="002402D9" w:rsidRPr="0057638A" w:rsidRDefault="002402D9" w:rsidP="002402D9">
      <w:pPr>
        <w:pStyle w:val="Titrearticle"/>
      </w:pPr>
      <w:r w:rsidRPr="0057638A">
        <w:t>2. cikk</w:t>
      </w:r>
    </w:p>
    <w:p w:rsidR="002402D9" w:rsidRPr="0057638A" w:rsidRDefault="002402D9" w:rsidP="002402D9">
      <w:r w:rsidRPr="0057638A">
        <w:t xml:space="preserve">A mellékletben meghatározott általános szerződési feltételek alkalmazhatók az adatkezelő és az adatkezelő nevében személyes adatokat kezelő adatfeldolgozó közötti szerződésekben. </w:t>
      </w:r>
    </w:p>
    <w:p w:rsidR="002402D9" w:rsidRPr="0057638A" w:rsidRDefault="002402D9" w:rsidP="002402D9">
      <w:pPr>
        <w:pStyle w:val="Titrearticle"/>
      </w:pPr>
      <w:r w:rsidRPr="0057638A">
        <w:t>3. cikk</w:t>
      </w:r>
    </w:p>
    <w:p w:rsidR="002402D9" w:rsidRPr="0057638A" w:rsidRDefault="002402D9" w:rsidP="002402D9">
      <w:pPr>
        <w:rPr>
          <w:rFonts w:eastAsia="Calibri"/>
        </w:rPr>
      </w:pPr>
      <w:r w:rsidRPr="0057638A">
        <w:t>A Bizottság az (EU) 2016/679 rendelet 97. cikkében előírt időszakos értékelés részeként az összes rendelkezésre álló információ alapján értékeli a mellékletben meghatározott általános szerződési felt</w:t>
      </w:r>
      <w:r w:rsidR="00732ED9">
        <w:t>ételek gyakorlati alkalmazását.</w:t>
      </w:r>
    </w:p>
    <w:p w:rsidR="002402D9" w:rsidRPr="0057638A" w:rsidRDefault="002402D9" w:rsidP="002402D9">
      <w:pPr>
        <w:pStyle w:val="Titrearticle"/>
      </w:pPr>
      <w:r w:rsidRPr="0057638A">
        <w:t>4. cikk</w:t>
      </w:r>
    </w:p>
    <w:p w:rsidR="003A69A2" w:rsidRPr="0057638A" w:rsidRDefault="003A69A2" w:rsidP="00135D70">
      <w:r w:rsidRPr="0057638A">
        <w:t xml:space="preserve">Ez a határozat az </w:t>
      </w:r>
      <w:r w:rsidRPr="0057638A">
        <w:rPr>
          <w:i/>
          <w:iCs/>
        </w:rPr>
        <w:t>Európai Unió Hivatalos Lapjában</w:t>
      </w:r>
      <w:r w:rsidRPr="0057638A">
        <w:t xml:space="preserve"> való kihirdetését követő huszadik napon lép hatályba.</w:t>
      </w:r>
    </w:p>
    <w:p w:rsidR="002402D9" w:rsidRPr="0057638A" w:rsidRDefault="000D4F83" w:rsidP="000D4F83">
      <w:pPr>
        <w:pStyle w:val="Fait"/>
      </w:pPr>
      <w:r w:rsidRPr="000D4F83">
        <w:t>Kelt Brüsszelben, -án/-én.</w:t>
      </w:r>
    </w:p>
    <w:p w:rsidR="002402D9" w:rsidRPr="0057638A" w:rsidRDefault="002402D9" w:rsidP="002402D9">
      <w:pPr>
        <w:pStyle w:val="Institutionquisigne"/>
        <w:rPr>
          <w:color w:val="000000" w:themeColor="text1"/>
        </w:rPr>
      </w:pPr>
      <w:r w:rsidRPr="0057638A">
        <w:tab/>
      </w:r>
      <w:r w:rsidRPr="0057638A">
        <w:rPr>
          <w:color w:val="000000" w:themeColor="text1"/>
        </w:rPr>
        <w:t>a Bizottság részéről</w:t>
      </w:r>
    </w:p>
    <w:p w:rsidR="002402D9" w:rsidRPr="0057638A" w:rsidRDefault="002402D9" w:rsidP="002402D9">
      <w:pPr>
        <w:pStyle w:val="Personnequisigne"/>
      </w:pPr>
      <w:r w:rsidRPr="0057638A">
        <w:tab/>
        <w:t>Ursula VON DER LEYEN</w:t>
      </w:r>
    </w:p>
    <w:p w:rsidR="002402D9" w:rsidRPr="0057638A" w:rsidRDefault="002402D9" w:rsidP="00F476B5">
      <w:pPr>
        <w:pStyle w:val="Personnequisigne"/>
        <w:rPr>
          <w:color w:val="000000" w:themeColor="text1"/>
        </w:rPr>
      </w:pPr>
      <w:r w:rsidRPr="0057638A">
        <w:tab/>
      </w:r>
      <w:r w:rsidR="00732ED9">
        <w:rPr>
          <w:color w:val="000000" w:themeColor="text1"/>
        </w:rPr>
        <w:t>az elnök</w:t>
      </w:r>
    </w:p>
    <w:sectPr w:rsidR="002402D9" w:rsidRPr="0057638A" w:rsidSect="000D4F83">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F83" w:rsidRPr="000D4F83" w:rsidRDefault="000D4F83" w:rsidP="000D4F83">
    <w:pPr>
      <w:pStyle w:val="Footer"/>
      <w:rPr>
        <w:rFonts w:ascii="Arial" w:hAnsi="Arial" w:cs="Arial"/>
        <w:b/>
        <w:sz w:val="48"/>
      </w:rPr>
    </w:pPr>
    <w:r w:rsidRPr="000D4F83">
      <w:rPr>
        <w:rFonts w:ascii="Arial" w:hAnsi="Arial" w:cs="Arial"/>
        <w:b/>
        <w:sz w:val="48"/>
      </w:rPr>
      <w:t>HU</w:t>
    </w:r>
    <w:r w:rsidRPr="000D4F83">
      <w:rPr>
        <w:rFonts w:ascii="Arial" w:hAnsi="Arial" w:cs="Arial"/>
        <w:b/>
        <w:sz w:val="48"/>
      </w:rPr>
      <w:tab/>
    </w:r>
    <w:r w:rsidRPr="000D4F83">
      <w:rPr>
        <w:rFonts w:ascii="Arial" w:hAnsi="Arial" w:cs="Arial"/>
        <w:b/>
        <w:sz w:val="48"/>
      </w:rPr>
      <w:tab/>
    </w:r>
    <w:r w:rsidRPr="000D4F83">
      <w:tab/>
    </w:r>
    <w:r w:rsidRPr="000D4F83">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F83" w:rsidRPr="000D4F83" w:rsidRDefault="000D4F83" w:rsidP="000D4F83">
    <w:pPr>
      <w:pStyle w:val="Footer"/>
      <w:rPr>
        <w:rFonts w:ascii="Arial" w:hAnsi="Arial" w:cs="Arial"/>
        <w:b/>
        <w:sz w:val="48"/>
      </w:rPr>
    </w:pPr>
    <w:r w:rsidRPr="000D4F83">
      <w:rPr>
        <w:rFonts w:ascii="Arial" w:hAnsi="Arial" w:cs="Arial"/>
        <w:b/>
        <w:sz w:val="48"/>
      </w:rPr>
      <w:t>HU</w:t>
    </w:r>
    <w:r w:rsidRPr="000D4F83">
      <w:rPr>
        <w:rFonts w:ascii="Arial" w:hAnsi="Arial" w:cs="Arial"/>
        <w:b/>
        <w:sz w:val="48"/>
      </w:rPr>
      <w:tab/>
    </w:r>
    <w:r>
      <w:fldChar w:fldCharType="begin"/>
    </w:r>
    <w:r>
      <w:instrText xml:space="preserve"> PAGE  \* MERGEFORMAT </w:instrText>
    </w:r>
    <w:r>
      <w:fldChar w:fldCharType="separate"/>
    </w:r>
    <w:r w:rsidR="00BB01EF">
      <w:rPr>
        <w:noProof/>
      </w:rPr>
      <w:t>1</w:t>
    </w:r>
    <w:r>
      <w:fldChar w:fldCharType="end"/>
    </w:r>
    <w:r>
      <w:tab/>
    </w:r>
    <w:r w:rsidRPr="000D4F83">
      <w:tab/>
    </w:r>
    <w:r w:rsidRPr="000D4F83">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F83" w:rsidRPr="000D4F83" w:rsidRDefault="000D4F83" w:rsidP="000D4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0D4F83">
      <w:pPr>
        <w:pStyle w:val="FootnoteText"/>
      </w:pPr>
      <w:r>
        <w:rPr>
          <w:rStyle w:val="FootnoteReference"/>
        </w:rPr>
        <w:footnoteRef/>
      </w:r>
      <w:r>
        <w:tab/>
        <w:t>HL L 119., 2016.5.4., 1. o.</w:t>
      </w:r>
    </w:p>
  </w:footnote>
  <w:footnote w:id="2">
    <w:p w:rsidR="002402D9" w:rsidRPr="00EA7EE3" w:rsidRDefault="002402D9" w:rsidP="000D4F83">
      <w:pPr>
        <w:pStyle w:val="FootnoteText"/>
      </w:pPr>
      <w:r>
        <w:rPr>
          <w:rStyle w:val="FootnoteReference"/>
        </w:rPr>
        <w:footnoteRef/>
      </w:r>
      <w:r>
        <w:tab/>
        <w:t>HL L 295., 2018.11.21., 39. o.</w:t>
      </w:r>
    </w:p>
  </w:footnote>
  <w:footnote w:id="3">
    <w:p w:rsidR="002402D9" w:rsidRPr="003C5835" w:rsidRDefault="002402D9" w:rsidP="000D4F83">
      <w:pPr>
        <w:pStyle w:val="FootnoteText"/>
      </w:pPr>
      <w:r>
        <w:rPr>
          <w:rStyle w:val="FootnoteReference"/>
        </w:rPr>
        <w:footnoteRef/>
      </w:r>
      <w:r>
        <w:tab/>
        <w:t xml:space="preserve">Az Európai Adatvédelmi Testület‑európai adatvédelmi biztos </w:t>
      </w:r>
      <w:r w:rsidR="00732ED9">
        <w:t>1</w:t>
      </w:r>
      <w:r>
        <w:t>/2021. sz.közös véleménye a személyes adatoknak az (EU) 2016/679 rendelet 28. cikkének (</w:t>
      </w:r>
      <w:r w:rsidR="00732ED9">
        <w:t>7</w:t>
      </w:r>
      <w:r>
        <w:t>) bekezdésében és az (EU) 2018/1725 rendelet 29. cikkének (7) bekezdésében említett kérdések tekintetében az adatkezelők és az adatfeldolgozók közötti általánosszerződési feltételekről szóló európai bizottsági végrehajtási határozatról.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0:00:5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VERPAGE_EXISTS" w:val="True"/>
    <w:docVar w:name="LW_COVERPAGE_GUID" w:val="548AD81F-E17E-4F18-9323-BDEF774473A8"/>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zel, "/>
    <w:docVar w:name="LW_EMISSION_SUFFIX" w:val=" "/>
    <w:docVar w:name="LW_ID_DOCMODEL" w:val="SJ-032"/>
    <w:docVar w:name="LW_ID_DOCSIGNATURE" w:val="SJ-032"/>
    <w:docVar w:name="LW_ID_DOCSTRUCTURE" w:val="COM/AA"/>
    <w:docVar w:name="LW_ID_DOCTYPE" w:val="SJ-032"/>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z adatkezel\u337?k és az adatfeldolgozók közötti, az (EU) 2016/679 európai parlamenti és tanácsi rendelet 28. cikkének (7) bekezdése és az (EU) 2018/1725 európai parlamenti és tanácsi rendelet 29. cikkének (7) bekezdése szerinti általános szerz\u337?dési feltételekr\u337?l"/>
    <w:docVar w:name="LW_TYPE.DOC.CP" w:val="A BIZOTTSÁG (EU) .../... VÉGREHAJTÁSI HATÁROZATA"/>
  </w:docVars>
  <w:rsids>
    <w:rsidRoot w:val="002402D9"/>
    <w:rsid w:val="000A7517"/>
    <w:rsid w:val="000D4F83"/>
    <w:rsid w:val="000E198E"/>
    <w:rsid w:val="00135D70"/>
    <w:rsid w:val="00151F7C"/>
    <w:rsid w:val="001C2816"/>
    <w:rsid w:val="002040A1"/>
    <w:rsid w:val="00232E98"/>
    <w:rsid w:val="00237340"/>
    <w:rsid w:val="002402D9"/>
    <w:rsid w:val="00252115"/>
    <w:rsid w:val="002532DA"/>
    <w:rsid w:val="00275FE2"/>
    <w:rsid w:val="002927FA"/>
    <w:rsid w:val="002C0FB7"/>
    <w:rsid w:val="00364079"/>
    <w:rsid w:val="003A69A2"/>
    <w:rsid w:val="0048570C"/>
    <w:rsid w:val="004D6C74"/>
    <w:rsid w:val="004F2DF0"/>
    <w:rsid w:val="0057638A"/>
    <w:rsid w:val="005951BB"/>
    <w:rsid w:val="005D6D0A"/>
    <w:rsid w:val="006E1BCC"/>
    <w:rsid w:val="0070128F"/>
    <w:rsid w:val="00732ED9"/>
    <w:rsid w:val="007C06F6"/>
    <w:rsid w:val="007D5587"/>
    <w:rsid w:val="00894AF5"/>
    <w:rsid w:val="009237D1"/>
    <w:rsid w:val="00942512"/>
    <w:rsid w:val="00986B33"/>
    <w:rsid w:val="00986D45"/>
    <w:rsid w:val="00987AD5"/>
    <w:rsid w:val="009A12DF"/>
    <w:rsid w:val="009B7138"/>
    <w:rsid w:val="00A81432"/>
    <w:rsid w:val="00AB596B"/>
    <w:rsid w:val="00B60148"/>
    <w:rsid w:val="00BB01EF"/>
    <w:rsid w:val="00BE246D"/>
    <w:rsid w:val="00BF17AA"/>
    <w:rsid w:val="00C24556"/>
    <w:rsid w:val="00C939DC"/>
    <w:rsid w:val="00CC49B0"/>
    <w:rsid w:val="00D60C6C"/>
    <w:rsid w:val="00D64D62"/>
    <w:rsid w:val="00DC435D"/>
    <w:rsid w:val="00DF46BA"/>
    <w:rsid w:val="00DF6773"/>
    <w:rsid w:val="00DF6971"/>
    <w:rsid w:val="00E37448"/>
    <w:rsid w:val="00E66C32"/>
    <w:rsid w:val="00E6755E"/>
    <w:rsid w:val="00EA7EE3"/>
    <w:rsid w:val="00ED3E3C"/>
    <w:rsid w:val="00F20062"/>
    <w:rsid w:val="00F476B5"/>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rsid w:val="009B713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hu-HU"/>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hu-HU"/>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5"/>
      </w:numPr>
    </w:pPr>
  </w:style>
  <w:style w:type="paragraph" w:customStyle="1" w:styleId="NumPar2">
    <w:name w:val="NumPar 2"/>
    <w:basedOn w:val="Normal"/>
    <w:next w:val="Text1"/>
    <w:rsid w:val="009B7138"/>
    <w:pPr>
      <w:numPr>
        <w:ilvl w:val="1"/>
        <w:numId w:val="15"/>
      </w:numPr>
    </w:pPr>
  </w:style>
  <w:style w:type="paragraph" w:customStyle="1" w:styleId="NumPar3">
    <w:name w:val="NumPar 3"/>
    <w:basedOn w:val="Normal"/>
    <w:next w:val="Text1"/>
    <w:rsid w:val="009B7138"/>
    <w:pPr>
      <w:numPr>
        <w:ilvl w:val="2"/>
        <w:numId w:val="15"/>
      </w:numPr>
    </w:pPr>
  </w:style>
  <w:style w:type="paragraph" w:customStyle="1" w:styleId="NumPar4">
    <w:name w:val="NumPar 4"/>
    <w:basedOn w:val="Normal"/>
    <w:next w:val="Text1"/>
    <w:rsid w:val="009B7138"/>
    <w:pPr>
      <w:numPr>
        <w:ilvl w:val="3"/>
        <w:numId w:val="1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2</Pages>
  <Words>1164</Words>
  <Characters>7876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VAMOSI Krisztian (DGT)</cp:lastModifiedBy>
  <cp:revision>3</cp:revision>
  <dcterms:created xsi:type="dcterms:W3CDTF">2021-05-20T08:00:00Z</dcterms:created>
  <dcterms:modified xsi:type="dcterms:W3CDTF">2021-05-20T08:00:00Z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 Build 20190717</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